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4327" w14:textId="77777777" w:rsidR="007D399A" w:rsidRPr="005401B2" w:rsidRDefault="007E4BA6" w:rsidP="002955B1">
      <w:pPr>
        <w:spacing w:after="0" w:line="363" w:lineRule="auto"/>
        <w:ind w:left="3929" w:firstLine="0"/>
        <w:rPr>
          <w:rFonts w:eastAsia="DengXian"/>
          <w:sz w:val="23"/>
          <w:szCs w:val="23"/>
          <w:lang w:eastAsia="zh-CN"/>
        </w:rPr>
      </w:pPr>
      <w:r w:rsidRPr="005401B2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0" wp14:anchorId="1168C4EF" wp14:editId="7B57C81B">
            <wp:simplePos x="0" y="0"/>
            <wp:positionH relativeFrom="column">
              <wp:posOffset>6248273</wp:posOffset>
            </wp:positionH>
            <wp:positionV relativeFrom="paragraph">
              <wp:posOffset>44830</wp:posOffset>
            </wp:positionV>
            <wp:extent cx="676161" cy="897255"/>
            <wp:effectExtent l="0" t="0" r="0" b="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161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5B1" w:rsidRPr="005401B2">
        <w:rPr>
          <w:rFonts w:ascii="DengXian" w:eastAsia="DengXian" w:hAnsi="DengXian" w:cs="MS Gothic" w:hint="eastAsia"/>
          <w:b/>
          <w:sz w:val="23"/>
          <w:szCs w:val="23"/>
          <w:lang w:eastAsia="zh-CN"/>
        </w:rPr>
        <w:t>了解康尼岛商业改进区 (</w:t>
      </w:r>
      <w:r w:rsidR="002955B1" w:rsidRPr="005401B2">
        <w:rPr>
          <w:rFonts w:ascii="DengXian" w:eastAsia="DengXian" w:hAnsi="DengXian" w:cs="MS Gothic"/>
          <w:b/>
          <w:sz w:val="23"/>
          <w:szCs w:val="23"/>
          <w:lang w:eastAsia="zh-CN"/>
        </w:rPr>
        <w:t>BID)</w:t>
      </w:r>
    </w:p>
    <w:p w14:paraId="5A19F526" w14:textId="77777777" w:rsidR="005D5761" w:rsidRPr="00554FEA" w:rsidRDefault="002955B1" w:rsidP="002955B1">
      <w:pPr>
        <w:spacing w:after="101"/>
        <w:rPr>
          <w:sz w:val="21"/>
          <w:szCs w:val="21"/>
          <w:lang w:eastAsia="zh-CN"/>
        </w:rPr>
      </w:pPr>
      <w:r w:rsidRPr="00554FEA">
        <w:rPr>
          <w:rFonts w:ascii="DengXian" w:eastAsia="DengXian" w:hAnsi="DengXian" w:cs="MS Gothic" w:hint="eastAsia"/>
          <w:sz w:val="21"/>
          <w:szCs w:val="21"/>
          <w:lang w:eastAsia="zh-CN"/>
        </w:rPr>
        <w:t>欲了解更多信息,</w:t>
      </w:r>
      <w:r w:rsidRPr="00554FEA">
        <w:rPr>
          <w:rFonts w:ascii="DengXian" w:eastAsia="DengXian" w:hAnsi="DengXian" w:cs="MS Gothic"/>
          <w:sz w:val="21"/>
          <w:szCs w:val="21"/>
          <w:lang w:eastAsia="zh-CN"/>
        </w:rPr>
        <w:t xml:space="preserve"> </w:t>
      </w:r>
      <w:r w:rsidRPr="00554FEA">
        <w:rPr>
          <w:rFonts w:ascii="DengXian" w:eastAsia="DengXian" w:hAnsi="DengXian" w:cs="MS Gothic" w:hint="eastAsia"/>
          <w:sz w:val="21"/>
          <w:szCs w:val="21"/>
          <w:lang w:eastAsia="zh-CN"/>
        </w:rPr>
        <w:t>请访问</w:t>
      </w:r>
      <w:r w:rsidR="007E4BA6" w:rsidRPr="00554FEA">
        <w:rPr>
          <w:sz w:val="21"/>
          <w:szCs w:val="21"/>
          <w:lang w:eastAsia="zh-CN"/>
        </w:rPr>
        <w:t xml:space="preserve">ConeyIslandBID.org </w:t>
      </w:r>
      <w:r w:rsidRPr="00554FEA">
        <w:rPr>
          <w:rFonts w:ascii="DengXian" w:eastAsia="DengXian" w:hAnsi="DengXian" w:cs="MS Gothic" w:hint="eastAsia"/>
          <w:sz w:val="21"/>
          <w:szCs w:val="21"/>
          <w:lang w:eastAsia="zh-CN"/>
        </w:rPr>
        <w:t>或</w:t>
      </w:r>
      <w:r w:rsidRPr="00554FEA">
        <w:rPr>
          <w:rFonts w:ascii="DengXian" w:eastAsia="DengXian" w:hAnsi="DengXian" w:cs="Microsoft JhengHei" w:hint="eastAsia"/>
          <w:sz w:val="21"/>
          <w:szCs w:val="21"/>
          <w:lang w:eastAsia="zh-CN"/>
        </w:rPr>
        <w:t xml:space="preserve">致电 </w:t>
      </w:r>
      <w:r w:rsidR="007E4BA6" w:rsidRPr="00554FEA">
        <w:rPr>
          <w:sz w:val="21"/>
          <w:szCs w:val="21"/>
          <w:lang w:eastAsia="zh-CN"/>
        </w:rPr>
        <w:t>(718) 594-7895</w:t>
      </w:r>
    </w:p>
    <w:p w14:paraId="30DEA5AC" w14:textId="77777777" w:rsidR="007D399A" w:rsidRPr="00554FEA" w:rsidRDefault="007E4BA6" w:rsidP="002955B1">
      <w:pPr>
        <w:spacing w:after="101"/>
        <w:rPr>
          <w:sz w:val="21"/>
          <w:szCs w:val="21"/>
          <w:lang w:eastAsia="zh-CN"/>
        </w:rPr>
      </w:pPr>
      <w:r w:rsidRPr="00554FEA">
        <w:rPr>
          <w:sz w:val="21"/>
          <w:szCs w:val="21"/>
          <w:lang w:eastAsia="zh-CN"/>
        </w:rPr>
        <w:t xml:space="preserve"> </w:t>
      </w:r>
    </w:p>
    <w:p w14:paraId="68867C6B" w14:textId="77777777" w:rsidR="007D399A" w:rsidRPr="00554FEA" w:rsidRDefault="002955B1">
      <w:pPr>
        <w:spacing w:after="194"/>
        <w:ind w:left="204"/>
        <w:rPr>
          <w:rFonts w:eastAsia="DengXian"/>
          <w:sz w:val="21"/>
          <w:szCs w:val="21"/>
          <w:lang w:eastAsia="zh-CN"/>
        </w:rPr>
      </w:pPr>
      <w:r w:rsidRPr="00554FEA">
        <w:rPr>
          <w:rFonts w:ascii="DengXian" w:eastAsia="DengXian" w:hAnsi="DengXian" w:cs="MS Gothic" w:hint="eastAsia"/>
          <w:b/>
          <w:sz w:val="21"/>
          <w:szCs w:val="21"/>
          <w:lang w:eastAsia="zh-CN"/>
        </w:rPr>
        <w:t xml:space="preserve">什么是商业改进区 </w:t>
      </w:r>
      <w:r w:rsidRPr="00554FEA">
        <w:rPr>
          <w:rFonts w:ascii="DengXian" w:eastAsia="DengXian" w:hAnsi="DengXian" w:cs="MS Gothic"/>
          <w:b/>
          <w:sz w:val="21"/>
          <w:szCs w:val="21"/>
          <w:lang w:eastAsia="zh-CN"/>
        </w:rPr>
        <w:t>(BID)</w:t>
      </w:r>
      <w:r w:rsidRPr="00554FEA">
        <w:rPr>
          <w:rFonts w:ascii="DengXian" w:eastAsia="DengXian" w:hAnsi="DengXian" w:cs="MS Gothic" w:hint="eastAsia"/>
          <w:b/>
          <w:sz w:val="21"/>
          <w:szCs w:val="21"/>
          <w:lang w:eastAsia="zh-CN"/>
        </w:rPr>
        <w:t>？</w:t>
      </w:r>
    </w:p>
    <w:p w14:paraId="0A5FF2E9" w14:textId="6CFCE6C1" w:rsidR="007D399A" w:rsidRPr="003E53EC" w:rsidRDefault="000C45DA" w:rsidP="002E7F7A">
      <w:pPr>
        <w:spacing w:after="84" w:line="240" w:lineRule="auto"/>
        <w:ind w:left="209" w:right="2" w:firstLine="0"/>
        <w:rPr>
          <w:rFonts w:ascii="DengXian" w:eastAsia="DengXian" w:hAnsi="DengXian" w:cs="MS Gothic"/>
          <w:sz w:val="21"/>
          <w:szCs w:val="21"/>
          <w:lang w:eastAsia="zh-CN"/>
        </w:rPr>
      </w:pPr>
      <w:r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商业改进</w:t>
      </w:r>
      <w:r w:rsidR="005D5761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区</w:t>
      </w:r>
      <w:r w:rsidR="00306C4B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计划</w:t>
      </w:r>
      <w:r w:rsidR="005D5761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是纽约市许多社区使用的一种工具，通过改善商家，业主和居民的生活质量</w:t>
      </w:r>
      <w:r w:rsidR="00A25614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让该区域经济变得更加活跃。促进</w:t>
      </w:r>
      <w:r w:rsidR="00813814">
        <w:rPr>
          <w:rFonts w:ascii="DengXian" w:eastAsia="DengXian" w:hAnsi="DengXian" w:cs="MS Gothic" w:hint="eastAsia"/>
          <w:sz w:val="21"/>
          <w:szCs w:val="21"/>
          <w:lang w:eastAsia="zh-CN"/>
        </w:rPr>
        <w:t>商业改进区</w:t>
      </w:r>
      <w:r w:rsidR="008A0D07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涉及到</w:t>
      </w:r>
      <w:r w:rsidR="00A25614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整个社区的投入，只有当每个人都参与社区需求讨论</w:t>
      </w:r>
      <w:r w:rsidR="008A0D07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会的情况下,</w:t>
      </w:r>
      <w:r w:rsidR="008A0D07" w:rsidRPr="003E53EC">
        <w:rPr>
          <w:rFonts w:ascii="DengXian" w:eastAsia="DengXian" w:hAnsi="DengXian" w:cs="MS Gothic"/>
          <w:sz w:val="21"/>
          <w:szCs w:val="21"/>
          <w:lang w:eastAsia="zh-CN"/>
        </w:rPr>
        <w:t xml:space="preserve"> </w:t>
      </w:r>
      <w:r w:rsidR="008A0D07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才能取得成功。</w:t>
      </w:r>
    </w:p>
    <w:p w14:paraId="1DF6868D" w14:textId="77777777" w:rsidR="005D5761" w:rsidRPr="003E53EC" w:rsidRDefault="005D5761" w:rsidP="002E7F7A">
      <w:pPr>
        <w:spacing w:after="84" w:line="240" w:lineRule="auto"/>
        <w:ind w:left="209" w:right="2" w:firstLine="0"/>
        <w:rPr>
          <w:sz w:val="21"/>
          <w:szCs w:val="21"/>
          <w:lang w:eastAsia="zh-CN"/>
        </w:rPr>
      </w:pPr>
    </w:p>
    <w:p w14:paraId="159481A7" w14:textId="3C875EB8" w:rsidR="007D399A" w:rsidRPr="003E53EC" w:rsidRDefault="004738F5" w:rsidP="002E7F7A">
      <w:pPr>
        <w:spacing w:after="105" w:line="240" w:lineRule="auto"/>
        <w:ind w:left="204" w:right="0"/>
        <w:rPr>
          <w:rFonts w:ascii="DengXian" w:eastAsia="DengXian" w:hAnsi="DengXian" w:cs="Microsoft JhengHei"/>
          <w:sz w:val="21"/>
          <w:szCs w:val="21"/>
          <w:lang w:eastAsia="zh-CN"/>
        </w:rPr>
      </w:pPr>
      <w:r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商业改进区</w:t>
      </w:r>
      <w:r w:rsidR="00306C4B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机构</w:t>
      </w:r>
      <w:r w:rsidR="00312A2E" w:rsidRPr="003E53EC">
        <w:rPr>
          <w:rFonts w:ascii="DengXian" w:eastAsia="DengXian" w:hAnsi="DengXian" w:cs="MS Gothic" w:hint="eastAsia"/>
          <w:sz w:val="21"/>
          <w:szCs w:val="21"/>
          <w:lang w:eastAsia="zh-CN"/>
        </w:rPr>
        <w:t>致力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创造充满活力，</w:t>
      </w:r>
      <w:r w:rsidR="00096C0B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干净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，和安全的地区。他们提供的服务和改进超</w:t>
      </w:r>
      <w:r w:rsidR="00D15AD6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越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了</w:t>
      </w:r>
      <w:r w:rsidR="00D15AD6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纽约市府所提供的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。</w:t>
      </w:r>
      <w:r w:rsidR="00D15AD6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通过与纽约市府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和社</w:t>
      </w:r>
      <w:r w:rsidR="00D15AD6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的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合作，</w:t>
      </w:r>
      <w:r w:rsidR="00D15AD6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商业改进区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对他们</w:t>
      </w:r>
      <w:r w:rsidR="00312A2E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服务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的</w:t>
      </w:r>
      <w:r w:rsidR="00D15AD6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地区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和当地企业来说</w:t>
      </w:r>
      <w:r w:rsidR="00312A2E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都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是一个强有力的声音。</w:t>
      </w:r>
    </w:p>
    <w:p w14:paraId="3F1AAD34" w14:textId="77777777" w:rsidR="00312A2E" w:rsidRPr="003E53EC" w:rsidRDefault="00312A2E" w:rsidP="002E7F7A">
      <w:pPr>
        <w:spacing w:after="105" w:line="240" w:lineRule="auto"/>
        <w:ind w:left="204" w:right="0"/>
        <w:rPr>
          <w:rFonts w:ascii="DengXian" w:eastAsia="DengXian" w:hAnsi="DengXian" w:cs="Microsoft JhengHei"/>
          <w:sz w:val="21"/>
          <w:szCs w:val="21"/>
          <w:lang w:eastAsia="zh-CN"/>
        </w:rPr>
      </w:pPr>
    </w:p>
    <w:p w14:paraId="66A087F2" w14:textId="088A7221" w:rsidR="00E76C87" w:rsidRPr="00554FEA" w:rsidRDefault="00312A2E" w:rsidP="00554FEA">
      <w:pPr>
        <w:spacing w:after="105"/>
        <w:ind w:left="204" w:right="0"/>
        <w:rPr>
          <w:rFonts w:ascii="DengXian" w:eastAsia="DengXian" w:hAnsi="DengXian" w:cs="Microsoft JhengHei"/>
          <w:sz w:val="21"/>
          <w:szCs w:val="21"/>
          <w:lang w:eastAsia="zh-CN"/>
        </w:rPr>
      </w:pP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商业改进区</w:t>
      </w:r>
      <w:r w:rsidR="00306C4B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机构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是一个独立的非营利</w:t>
      </w:r>
      <w:r w:rsidR="00306C4B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组织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，由当地代表、业主、</w:t>
      </w:r>
      <w:r w:rsidR="00306C4B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商家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、居民和其他社区利益相关者组成的董事会管理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。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他们创建和控制预算</w:t>
      </w:r>
      <w:r w:rsidR="003646CC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,</w:t>
      </w:r>
      <w:r w:rsidR="003646CC" w:rsidRPr="003E53EC">
        <w:rPr>
          <w:rFonts w:ascii="DengXian" w:eastAsia="DengXian" w:hAnsi="DengXian" w:cs="Microsoft JhengHei"/>
          <w:sz w:val="21"/>
          <w:szCs w:val="21"/>
          <w:lang w:eastAsia="zh-CN"/>
        </w:rPr>
        <w:t xml:space="preserve"> 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提供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服务</w:t>
      </w:r>
      <w:r w:rsidR="003646CC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、</w:t>
      </w:r>
      <w:r w:rsidR="003646CC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并</w:t>
      </w:r>
      <w:r w:rsidR="003646CC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雇用执行董事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或用于</w:t>
      </w:r>
      <w:r w:rsidR="003646CC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管理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机构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。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每一年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定期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的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资金对社区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的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规划</w:t>
      </w:r>
      <w:r w:rsidR="00114EB8">
        <w:rPr>
          <w:rFonts w:ascii="DengXian" w:eastAsia="DengXian" w:hAnsi="DengXian" w:cs="Microsoft JhengHei" w:hint="eastAsia"/>
          <w:sz w:val="21"/>
          <w:szCs w:val="21"/>
          <w:lang w:eastAsia="zh-CN"/>
        </w:rPr>
        <w:t>都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至关重要，其最大的好处是能够灵活地利用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资金来解决康尼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岛所有地区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的问题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。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商业改进区计划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的</w:t>
      </w:r>
      <w:r w:rsidR="00615562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提议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年度预算为</w:t>
      </w:r>
      <w:r w:rsidRPr="003E53EC">
        <w:rPr>
          <w:rFonts w:ascii="DengXian" w:eastAsia="DengXian" w:hAnsi="DengXian" w:cs="Microsoft JhengHei"/>
          <w:sz w:val="21"/>
          <w:szCs w:val="21"/>
          <w:lang w:eastAsia="zh-CN"/>
        </w:rPr>
        <w:t>120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万美元，用于</w:t>
      </w:r>
      <w:r w:rsidR="00615562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服务</w:t>
      </w:r>
      <w:r w:rsidR="00EA30C0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康尼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岛</w:t>
      </w:r>
      <w:r w:rsidR="00615562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大部分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地区</w:t>
      </w:r>
      <w:r w:rsidR="00615562"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,</w:t>
      </w:r>
      <w:r w:rsidR="00615562" w:rsidRPr="003E53EC">
        <w:rPr>
          <w:rFonts w:ascii="DengXian" w:eastAsia="DengXian" w:hAnsi="DengXian" w:cs="Microsoft JhengHei"/>
          <w:sz w:val="21"/>
          <w:szCs w:val="21"/>
          <w:lang w:eastAsia="zh-CN"/>
        </w:rPr>
        <w:t xml:space="preserve"> 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住宅物业每年</w:t>
      </w:r>
      <w:r w:rsidR="00114EB8">
        <w:rPr>
          <w:rFonts w:ascii="DengXian" w:eastAsia="DengXian" w:hAnsi="DengXian" w:cs="Microsoft JhengHei" w:hint="eastAsia"/>
          <w:sz w:val="21"/>
          <w:szCs w:val="21"/>
          <w:lang w:eastAsia="zh-CN"/>
        </w:rPr>
        <w:t>需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支付</w:t>
      </w:r>
      <w:r w:rsidRPr="003E53EC">
        <w:rPr>
          <w:rFonts w:ascii="DengXian" w:eastAsia="DengXian" w:hAnsi="DengXian" w:cs="Microsoft JhengHei"/>
          <w:sz w:val="21"/>
          <w:szCs w:val="21"/>
          <w:lang w:eastAsia="zh-CN"/>
        </w:rPr>
        <w:t>1.00</w:t>
      </w:r>
      <w:r w:rsidRPr="003E53EC">
        <w:rPr>
          <w:rFonts w:ascii="DengXian" w:eastAsia="DengXian" w:hAnsi="DengXian" w:cs="Microsoft JhengHei" w:hint="eastAsia"/>
          <w:sz w:val="21"/>
          <w:szCs w:val="21"/>
          <w:lang w:eastAsia="zh-CN"/>
        </w:rPr>
        <w:t>美元。</w:t>
      </w:r>
    </w:p>
    <w:p w14:paraId="378C3E55" w14:textId="06AA10CE" w:rsidR="007D399A" w:rsidRDefault="00615562">
      <w:pPr>
        <w:spacing w:after="0" w:line="259" w:lineRule="auto"/>
        <w:ind w:left="208" w:right="0" w:firstLine="0"/>
        <w:jc w:val="center"/>
        <w:rPr>
          <w:lang w:eastAsia="zh-CN"/>
        </w:rPr>
      </w:pPr>
      <w:r>
        <w:rPr>
          <w:rFonts w:ascii="Microsoft YaHei" w:eastAsia="Microsoft YaHei" w:hAnsi="Microsoft YaHei" w:cs="Microsoft YaHei" w:hint="eastAsia"/>
          <w:b/>
          <w:lang w:eastAsia="zh-CN"/>
        </w:rPr>
        <w:t>康尼岛商业改进区的初步</w:t>
      </w:r>
      <w:r w:rsidR="00917EDE">
        <w:rPr>
          <w:rFonts w:ascii="Microsoft YaHei" w:eastAsia="Microsoft YaHei" w:hAnsi="Microsoft YaHei" w:cs="Microsoft YaHei" w:hint="eastAsia"/>
          <w:b/>
          <w:lang w:eastAsia="zh-CN"/>
        </w:rPr>
        <w:t>范围</w:t>
      </w:r>
      <w:r w:rsidR="004638CA">
        <w:rPr>
          <w:rFonts w:ascii="Microsoft YaHei" w:eastAsia="Microsoft YaHei" w:hAnsi="Microsoft YaHei" w:cs="Microsoft YaHei" w:hint="eastAsia"/>
          <w:b/>
          <w:lang w:eastAsia="zh-CN"/>
        </w:rPr>
        <w:t>界限</w:t>
      </w:r>
    </w:p>
    <w:p w14:paraId="1A40208B" w14:textId="77777777" w:rsidR="007D399A" w:rsidRDefault="007E4BA6">
      <w:pPr>
        <w:spacing w:after="0" w:line="259" w:lineRule="auto"/>
        <w:ind w:left="0" w:right="636" w:firstLine="0"/>
        <w:jc w:val="right"/>
        <w:rPr>
          <w:lang w:eastAsia="zh-CN"/>
        </w:rPr>
      </w:pPr>
      <w:r>
        <w:rPr>
          <w:noProof/>
        </w:rPr>
        <w:drawing>
          <wp:inline distT="0" distB="0" distL="0" distR="0" wp14:anchorId="71A4B85B" wp14:editId="57416156">
            <wp:extent cx="5971667" cy="3385820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1667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</w:p>
    <w:p w14:paraId="60718389" w14:textId="77777777" w:rsidR="00615562" w:rsidRDefault="00615562">
      <w:pPr>
        <w:spacing w:after="106"/>
        <w:ind w:left="204"/>
        <w:rPr>
          <w:b/>
          <w:lang w:eastAsia="zh-CN"/>
        </w:rPr>
      </w:pPr>
    </w:p>
    <w:p w14:paraId="292D29EC" w14:textId="7164190D" w:rsidR="007D399A" w:rsidRPr="00554FEA" w:rsidRDefault="00061E49">
      <w:pPr>
        <w:spacing w:after="106"/>
        <w:ind w:left="204"/>
        <w:rPr>
          <w:sz w:val="21"/>
          <w:szCs w:val="21"/>
          <w:lang w:eastAsia="zh-CN"/>
        </w:rPr>
      </w:pPr>
      <w:r w:rsidRPr="00554FEA">
        <w:rPr>
          <w:rFonts w:ascii="Microsoft YaHei" w:eastAsia="Microsoft YaHei" w:hAnsi="Microsoft YaHei" w:cs="Microsoft YaHei" w:hint="eastAsia"/>
          <w:b/>
          <w:sz w:val="21"/>
          <w:szCs w:val="21"/>
          <w:lang w:eastAsia="zh-CN"/>
        </w:rPr>
        <w:t>康尼岛联盟组织的作用？</w:t>
      </w:r>
    </w:p>
    <w:p w14:paraId="13ED69C9" w14:textId="6FD9767E" w:rsidR="00554FEA" w:rsidRPr="00554FEA" w:rsidRDefault="003E53EC" w:rsidP="00554FEA">
      <w:pPr>
        <w:spacing w:after="143"/>
        <w:ind w:left="204" w:right="0"/>
        <w:rPr>
          <w:rFonts w:asciiTheme="minorEastAsia" w:eastAsiaTheme="minorEastAsia" w:hAnsiTheme="minorEastAsia" w:cs="Microsoft YaHei"/>
          <w:sz w:val="21"/>
          <w:szCs w:val="21"/>
          <w:lang w:eastAsia="zh-CN"/>
        </w:rPr>
      </w:pP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康尼岛联盟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组织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正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为社区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提供一个机会，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让社区讨论并了解商业改进区的优点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，以及</w:t>
      </w:r>
      <w:r w:rsidR="0054317F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我们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如何设立一个</w:t>
      </w:r>
      <w:r w:rsidR="00813814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商改区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以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满足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本地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的</w:t>
      </w:r>
      <w:r w:rsidR="0054317F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需求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。该联盟</w:t>
      </w:r>
      <w:r w:rsidR="0054317F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已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进行了一次</w:t>
      </w:r>
      <w:r w:rsidR="00813814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商改区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需求评估，听取了商</w:t>
      </w:r>
      <w:r w:rsidR="0054317F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家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和</w:t>
      </w:r>
      <w:r w:rsidR="0054317F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消费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者的各种关切和想法，以改善社区的商业环境和生活质量。所有这些建设性的反馈意见</w:t>
      </w:r>
      <w:r w:rsidR="00813814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也促成近期的讨论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会议，讨论</w:t>
      </w:r>
      <w:r w:rsidR="00813814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商改区</w:t>
      </w:r>
      <w:r w:rsidR="00896F80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的形成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，以及</w:t>
      </w:r>
      <w:r w:rsidR="00896F80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商改区机构组织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可以做些什么来解决这些社区问题。联盟的</w:t>
      </w:r>
      <w:r w:rsidR="00554FEA"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使命宣言</w:t>
      </w:r>
      <w:r w:rsidRPr="00554FEA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：</w:t>
      </w:r>
    </w:p>
    <w:p w14:paraId="4DD85EBD" w14:textId="610C58DC" w:rsidR="00554FEA" w:rsidRPr="008C72CC" w:rsidRDefault="007E4BA6" w:rsidP="008C72CC">
      <w:pPr>
        <w:spacing w:after="0" w:line="360" w:lineRule="auto"/>
        <w:ind w:left="929" w:right="3536" w:firstLine="0"/>
        <w:rPr>
          <w:rFonts w:asciiTheme="minorEastAsia" w:eastAsiaTheme="minorEastAsia" w:hAnsiTheme="minorEastAsia"/>
          <w:color w:val="222222"/>
          <w:sz w:val="21"/>
          <w:szCs w:val="21"/>
          <w:lang w:eastAsia="zh-CN"/>
        </w:rPr>
      </w:pPr>
      <w:r w:rsidRPr="008C72CC">
        <w:rPr>
          <w:rFonts w:asciiTheme="minorEastAsia" w:eastAsiaTheme="minorEastAsia" w:hAnsiTheme="minorEastAsia"/>
          <w:color w:val="222222"/>
          <w:sz w:val="21"/>
          <w:szCs w:val="21"/>
          <w:lang w:eastAsia="zh-CN"/>
        </w:rPr>
        <w:t xml:space="preserve">● </w:t>
      </w:r>
      <w:r w:rsidR="00554FEA" w:rsidRPr="008C72CC">
        <w:rPr>
          <w:rFonts w:asciiTheme="minorEastAsia" w:eastAsiaTheme="minorEastAsia" w:hAnsiTheme="minorEastAsia" w:cs="Microsoft YaHei" w:hint="eastAsia"/>
          <w:color w:val="222222"/>
          <w:sz w:val="21"/>
          <w:szCs w:val="21"/>
          <w:lang w:eastAsia="zh-CN"/>
        </w:rPr>
        <w:t>建立一个可持续发展的经济</w:t>
      </w:r>
      <w:r w:rsidR="008C72CC" w:rsidRPr="008C72CC">
        <w:rPr>
          <w:rFonts w:asciiTheme="minorEastAsia" w:eastAsiaTheme="minorEastAsia" w:hAnsiTheme="minorEastAsia" w:cs="Microsoft YaHei" w:hint="eastAsia"/>
          <w:color w:val="222222"/>
          <w:sz w:val="21"/>
          <w:szCs w:val="21"/>
          <w:lang w:eastAsia="zh-CN"/>
        </w:rPr>
        <w:t>性</w:t>
      </w:r>
      <w:r w:rsidR="00554FEA" w:rsidRPr="008C72CC">
        <w:rPr>
          <w:rFonts w:asciiTheme="minorEastAsia" w:eastAsiaTheme="minorEastAsia" w:hAnsiTheme="minorEastAsia" w:cs="Microsoft YaHei" w:hint="eastAsia"/>
          <w:color w:val="222222"/>
          <w:sz w:val="21"/>
          <w:szCs w:val="21"/>
          <w:lang w:eastAsia="zh-CN"/>
        </w:rPr>
        <w:t>及社会</w:t>
      </w:r>
      <w:r w:rsidR="008C72CC" w:rsidRPr="008C72CC">
        <w:rPr>
          <w:rFonts w:asciiTheme="minorEastAsia" w:eastAsiaTheme="minorEastAsia" w:hAnsiTheme="minorEastAsia" w:cs="Microsoft YaHei" w:hint="eastAsia"/>
          <w:color w:val="222222"/>
          <w:sz w:val="21"/>
          <w:szCs w:val="21"/>
          <w:lang w:eastAsia="zh-CN"/>
        </w:rPr>
        <w:t>性的社区关系</w:t>
      </w:r>
      <w:r w:rsidRPr="008C72CC">
        <w:rPr>
          <w:rFonts w:asciiTheme="minorEastAsia" w:eastAsiaTheme="minorEastAsia" w:hAnsiTheme="minorEastAsia"/>
          <w:color w:val="222222"/>
          <w:sz w:val="21"/>
          <w:szCs w:val="21"/>
          <w:lang w:eastAsia="zh-CN"/>
        </w:rPr>
        <w:t xml:space="preserve">; </w:t>
      </w:r>
    </w:p>
    <w:p w14:paraId="63B98588" w14:textId="46CC68F5" w:rsidR="007D399A" w:rsidRPr="00C876ED" w:rsidRDefault="007E4BA6" w:rsidP="00C876ED">
      <w:pPr>
        <w:spacing w:after="0" w:line="360" w:lineRule="auto"/>
        <w:ind w:left="929" w:right="3536" w:firstLine="0"/>
        <w:rPr>
          <w:rFonts w:asciiTheme="minorEastAsia" w:eastAsiaTheme="minorEastAsia" w:hAnsiTheme="minorEastAsia"/>
          <w:color w:val="222222"/>
          <w:sz w:val="21"/>
          <w:szCs w:val="21"/>
          <w:lang w:eastAsia="zh-CN"/>
        </w:rPr>
      </w:pPr>
      <w:r w:rsidRPr="008C72CC">
        <w:rPr>
          <w:rFonts w:asciiTheme="minorEastAsia" w:eastAsiaTheme="minorEastAsia" w:hAnsiTheme="minorEastAsia"/>
          <w:color w:val="222222"/>
          <w:sz w:val="21"/>
          <w:szCs w:val="21"/>
          <w:lang w:eastAsia="zh-CN"/>
        </w:rPr>
        <w:t>●</w:t>
      </w:r>
      <w:r w:rsidR="008C72CC" w:rsidRPr="008C72CC">
        <w:rPr>
          <w:rFonts w:asciiTheme="minorEastAsia" w:eastAsiaTheme="minorEastAsia" w:hAnsiTheme="minorEastAsia" w:cs="Microsoft YaHei" w:hint="eastAsia"/>
          <w:color w:val="222222"/>
          <w:sz w:val="21"/>
          <w:szCs w:val="21"/>
          <w:lang w:eastAsia="zh-CN"/>
        </w:rPr>
        <w:t>维护及加强零售业和社区特色</w:t>
      </w:r>
      <w:r w:rsidRPr="008C72CC">
        <w:rPr>
          <w:rFonts w:asciiTheme="minorEastAsia" w:eastAsiaTheme="minorEastAsia" w:hAnsiTheme="minorEastAsia"/>
          <w:color w:val="222222"/>
          <w:sz w:val="21"/>
          <w:szCs w:val="21"/>
          <w:lang w:eastAsia="zh-CN"/>
        </w:rPr>
        <w:t>.</w:t>
      </w:r>
      <w:r>
        <w:rPr>
          <w:b/>
          <w:lang w:eastAsia="zh-CN"/>
        </w:rPr>
        <w:t xml:space="preserve"> </w:t>
      </w:r>
    </w:p>
    <w:p w14:paraId="5F44B0BC" w14:textId="090480AD" w:rsidR="007D399A" w:rsidRDefault="00C876ED">
      <w:pPr>
        <w:spacing w:after="106"/>
        <w:ind w:left="204"/>
        <w:rPr>
          <w:lang w:eastAsia="zh-CN"/>
        </w:rPr>
      </w:pPr>
      <w:r>
        <w:rPr>
          <w:rFonts w:ascii="Microsoft YaHei" w:eastAsia="Microsoft YaHei" w:hAnsi="Microsoft YaHei" w:cs="Microsoft YaHei" w:hint="eastAsia"/>
          <w:b/>
          <w:lang w:eastAsia="zh-CN"/>
        </w:rPr>
        <w:lastRenderedPageBreak/>
        <w:t>商业改进区提供哪些服务？</w:t>
      </w:r>
    </w:p>
    <w:p w14:paraId="693CFF93" w14:textId="453192DE" w:rsidR="007D399A" w:rsidRPr="00111D8B" w:rsidRDefault="00917EDE">
      <w:pPr>
        <w:ind w:left="204" w:right="0"/>
        <w:rPr>
          <w:rFonts w:asciiTheme="minorEastAsia" w:eastAsiaTheme="minorEastAsia" w:hAnsiTheme="minorEastAsia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lang w:eastAsia="zh-CN"/>
        </w:rPr>
        <w:t>纽约市商业改进</w:t>
      </w:r>
      <w:r w:rsidR="002E7F7A" w:rsidRPr="00111D8B">
        <w:rPr>
          <w:rFonts w:asciiTheme="minorEastAsia" w:eastAsiaTheme="minorEastAsia" w:hAnsiTheme="minorEastAsia" w:cs="Microsoft YaHei" w:hint="eastAsia"/>
          <w:lang w:eastAsia="zh-CN"/>
        </w:rPr>
        <w:t>区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机构已在其他社区</w:t>
      </w:r>
      <w:r w:rsidR="002E7F7A" w:rsidRPr="00111D8B">
        <w:rPr>
          <w:rFonts w:asciiTheme="minorEastAsia" w:eastAsiaTheme="minorEastAsia" w:hAnsiTheme="minorEastAsia" w:cs="Microsoft YaHei" w:hint="eastAsia"/>
          <w:lang w:eastAsia="zh-CN"/>
        </w:rPr>
        <w:t>提供以下补充服务</w:t>
      </w:r>
      <w:r w:rsidR="007E4BA6" w:rsidRPr="00111D8B">
        <w:rPr>
          <w:rFonts w:asciiTheme="minorEastAsia" w:eastAsiaTheme="minorEastAsia" w:hAnsiTheme="minorEastAsia"/>
          <w:lang w:eastAsia="zh-CN"/>
        </w:rPr>
        <w:t xml:space="preserve">: </w:t>
      </w:r>
    </w:p>
    <w:tbl>
      <w:tblPr>
        <w:tblStyle w:val="TableGrid"/>
        <w:tblW w:w="10321" w:type="dxa"/>
        <w:tblInd w:w="929" w:type="dxa"/>
        <w:tblLook w:val="04A0" w:firstRow="1" w:lastRow="0" w:firstColumn="1" w:lastColumn="0" w:noHBand="0" w:noVBand="1"/>
      </w:tblPr>
      <w:tblGrid>
        <w:gridCol w:w="5761"/>
        <w:gridCol w:w="4560"/>
      </w:tblGrid>
      <w:tr w:rsidR="007D399A" w:rsidRPr="00111D8B" w14:paraId="61F6EFAA" w14:textId="77777777" w:rsidTr="00111D8B">
        <w:trPr>
          <w:trHeight w:val="1141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64259E17" w14:textId="21B1AEC7" w:rsidR="007D399A" w:rsidRPr="00111D8B" w:rsidRDefault="002E7F7A" w:rsidP="00111D8B">
            <w:pPr>
              <w:numPr>
                <w:ilvl w:val="0"/>
                <w:numId w:val="1"/>
              </w:numPr>
              <w:spacing w:after="55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企业营销</w:t>
            </w:r>
            <w:r w:rsidR="007E4BA6" w:rsidRPr="00111D8B">
              <w:rPr>
                <w:rFonts w:asciiTheme="minorEastAsia" w:eastAsiaTheme="minorEastAsia" w:hAnsiTheme="minorEastAsia"/>
              </w:rPr>
              <w:t xml:space="preserve"> </w:t>
            </w:r>
          </w:p>
          <w:p w14:paraId="122EC395" w14:textId="43C7BA9F" w:rsidR="007D399A" w:rsidRPr="00111D8B" w:rsidRDefault="002E7F7A" w:rsidP="00111D8B">
            <w:pPr>
              <w:numPr>
                <w:ilvl w:val="0"/>
                <w:numId w:val="1"/>
              </w:numPr>
              <w:spacing w:after="54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公共安全和卫生项目</w:t>
            </w:r>
          </w:p>
          <w:p w14:paraId="779AE61F" w14:textId="0978F3D1" w:rsidR="002E7F7A" w:rsidRPr="00111D8B" w:rsidRDefault="002E7F7A" w:rsidP="00111D8B">
            <w:pPr>
              <w:numPr>
                <w:ilvl w:val="0"/>
                <w:numId w:val="1"/>
              </w:numPr>
              <w:spacing w:after="18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清除积雪和涂鸦</w:t>
            </w:r>
          </w:p>
          <w:p w14:paraId="732B56C3" w14:textId="28DF2DD1" w:rsidR="007D399A" w:rsidRPr="00111D8B" w:rsidRDefault="002E7F7A" w:rsidP="00111D8B">
            <w:pPr>
              <w:numPr>
                <w:ilvl w:val="0"/>
                <w:numId w:val="1"/>
              </w:numPr>
              <w:spacing w:after="18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街景美化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60AC759E" w14:textId="77777777" w:rsidR="007D399A" w:rsidRPr="00111D8B" w:rsidRDefault="007E4BA6" w:rsidP="00111D8B">
            <w:pPr>
              <w:spacing w:after="55" w:line="240" w:lineRule="auto"/>
              <w:ind w:left="0" w:right="0" w:firstLine="0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/>
              </w:rPr>
              <w:t xml:space="preserve"> </w:t>
            </w:r>
          </w:p>
          <w:p w14:paraId="53291520" w14:textId="00D09C12" w:rsidR="007D399A" w:rsidRPr="00111D8B" w:rsidRDefault="00DC2364" w:rsidP="00111D8B">
            <w:pPr>
              <w:numPr>
                <w:ilvl w:val="0"/>
                <w:numId w:val="2"/>
              </w:numPr>
              <w:spacing w:after="54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店面改善</w:t>
            </w:r>
          </w:p>
          <w:p w14:paraId="7BAAEE5F" w14:textId="082F98DF" w:rsidR="00DC2364" w:rsidRPr="00111D8B" w:rsidRDefault="00DC2364" w:rsidP="00111D8B">
            <w:pPr>
              <w:numPr>
                <w:ilvl w:val="0"/>
                <w:numId w:val="2"/>
              </w:numPr>
              <w:spacing w:after="54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节日街灯</w:t>
            </w:r>
          </w:p>
          <w:p w14:paraId="59F332F6" w14:textId="5785F062" w:rsidR="007D399A" w:rsidRPr="00111D8B" w:rsidRDefault="00DC2364" w:rsidP="00111D8B">
            <w:pPr>
              <w:numPr>
                <w:ilvl w:val="0"/>
                <w:numId w:val="2"/>
              </w:numPr>
              <w:spacing w:after="54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为地区需求机构进行宣传</w:t>
            </w:r>
          </w:p>
        </w:tc>
      </w:tr>
      <w:tr w:rsidR="007D399A" w:rsidRPr="00111D8B" w14:paraId="27E0DC2F" w14:textId="77777777" w:rsidTr="00111D8B">
        <w:trPr>
          <w:trHeight w:val="560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14:paraId="33E28F82" w14:textId="311E712B" w:rsidR="002E7F7A" w:rsidRPr="00111D8B" w:rsidRDefault="00DC2364" w:rsidP="00111D8B">
            <w:pPr>
              <w:numPr>
                <w:ilvl w:val="0"/>
                <w:numId w:val="3"/>
              </w:numPr>
              <w:spacing w:after="54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本地市府提供技术援助</w:t>
            </w:r>
          </w:p>
          <w:p w14:paraId="37905563" w14:textId="2269D166" w:rsidR="007D399A" w:rsidRPr="00111D8B" w:rsidRDefault="00DC2364" w:rsidP="00111D8B">
            <w:pPr>
              <w:numPr>
                <w:ilvl w:val="0"/>
                <w:numId w:val="3"/>
              </w:numPr>
              <w:spacing w:after="54" w:line="240" w:lineRule="auto"/>
              <w:ind w:right="0" w:hanging="139"/>
              <w:rPr>
                <w:rFonts w:asciiTheme="minorEastAsia" w:eastAsiaTheme="minorEastAsia" w:hAnsiTheme="minorEastAsia"/>
              </w:rPr>
            </w:pPr>
            <w:r w:rsidRPr="00111D8B">
              <w:rPr>
                <w:rFonts w:asciiTheme="minorEastAsia" w:eastAsiaTheme="minorEastAsia" w:hAnsiTheme="minorEastAsia" w:cs="Microsoft YaHei" w:hint="eastAsia"/>
                <w:lang w:eastAsia="zh-CN"/>
              </w:rPr>
              <w:t>交通管理</w:t>
            </w:r>
            <w:r w:rsidR="007E4BA6" w:rsidRPr="00111D8B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372880C5" w14:textId="46FF7835" w:rsidR="007D399A" w:rsidRPr="00111D8B" w:rsidRDefault="007D399A" w:rsidP="00111D8B">
            <w:pPr>
              <w:spacing w:after="0" w:line="240" w:lineRule="auto"/>
              <w:ind w:left="0" w:right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786BD003" w14:textId="77777777" w:rsidR="007D399A" w:rsidRDefault="007E4BA6" w:rsidP="00111D8B">
      <w:pPr>
        <w:spacing w:after="17" w:line="240" w:lineRule="auto"/>
        <w:ind w:left="929" w:right="0" w:firstLine="0"/>
        <w:rPr>
          <w:lang w:eastAsia="zh-CN"/>
        </w:rPr>
      </w:pPr>
      <w:r>
        <w:rPr>
          <w:lang w:eastAsia="zh-CN"/>
        </w:rPr>
        <w:t xml:space="preserve"> </w:t>
      </w:r>
    </w:p>
    <w:p w14:paraId="5B17F43B" w14:textId="3F56F608" w:rsidR="007D399A" w:rsidRPr="00111D8B" w:rsidRDefault="00AE60CA">
      <w:pPr>
        <w:ind w:left="204" w:right="0"/>
        <w:rPr>
          <w:rFonts w:asciiTheme="minorEastAsia" w:eastAsiaTheme="minorEastAsia" w:hAnsiTheme="minorEastAsia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lang w:eastAsia="zh-CN"/>
        </w:rPr>
        <w:t>商业改进区规划委员会正草拟一份商改区</w:t>
      </w:r>
      <w:r w:rsidR="00833CF7" w:rsidRPr="00111D8B">
        <w:rPr>
          <w:rFonts w:asciiTheme="minorEastAsia" w:eastAsiaTheme="minorEastAsia" w:hAnsiTheme="minorEastAsia" w:cs="Microsoft YaHei" w:hint="eastAsia"/>
          <w:lang w:eastAsia="zh-CN"/>
        </w:rPr>
        <w:t>计划-</w:t>
      </w:r>
      <w:r w:rsidR="00833CF7" w:rsidRPr="00111D8B">
        <w:rPr>
          <w:rFonts w:asciiTheme="minorEastAsia" w:eastAsiaTheme="minorEastAsia" w:hAnsiTheme="minorEastAsia" w:cs="Microsoft YaHei" w:hint="eastAsia"/>
          <w:lang w:eastAsia="zh-CN"/>
        </w:rPr>
        <w:t>计划始终对利益</w:t>
      </w:r>
      <w:r w:rsidR="00833CF7" w:rsidRPr="00111D8B">
        <w:rPr>
          <w:rFonts w:asciiTheme="minorEastAsia" w:eastAsiaTheme="minorEastAsia" w:hAnsiTheme="minorEastAsia" w:cs="Microsoft YaHei" w:hint="eastAsia"/>
          <w:lang w:eastAsia="zh-CN"/>
        </w:rPr>
        <w:t>相</w:t>
      </w:r>
      <w:r w:rsidR="00833CF7" w:rsidRPr="00111D8B">
        <w:rPr>
          <w:rFonts w:asciiTheme="minorEastAsia" w:eastAsiaTheme="minorEastAsia" w:hAnsiTheme="minorEastAsia" w:cs="Microsoft YaHei" w:hint="eastAsia"/>
          <w:lang w:eastAsia="zh-CN"/>
        </w:rPr>
        <w:t>关方和社区的建议持开放态度</w:t>
      </w:r>
      <w:r w:rsidR="00833CF7" w:rsidRPr="00111D8B">
        <w:rPr>
          <w:rFonts w:asciiTheme="minorEastAsia" w:eastAsiaTheme="minorEastAsia" w:hAnsiTheme="minorEastAsia" w:cs="Microsoft YaHei" w:hint="eastAsia"/>
          <w:lang w:eastAsia="zh-CN"/>
        </w:rPr>
        <w:t>.</w:t>
      </w:r>
      <w:r w:rsidR="00833CF7" w:rsidRPr="00111D8B">
        <w:rPr>
          <w:rFonts w:asciiTheme="minorEastAsia" w:eastAsiaTheme="minorEastAsia" w:hAnsiTheme="minorEastAsia" w:cs="Microsoft YaHei"/>
          <w:lang w:eastAsia="zh-CN"/>
        </w:rPr>
        <w:t xml:space="preserve"> </w:t>
      </w:r>
      <w:r w:rsidR="00833CF7" w:rsidRPr="00111D8B">
        <w:rPr>
          <w:rFonts w:asciiTheme="minorEastAsia" w:eastAsiaTheme="minorEastAsia" w:hAnsiTheme="minorEastAsia" w:cs="Microsoft YaHei" w:hint="eastAsia"/>
          <w:b/>
          <w:lang w:eastAsia="zh-CN"/>
        </w:rPr>
        <w:t>这些服务和改进，除其他外，是对现有城市服务的补充，而不是替代。</w:t>
      </w:r>
      <w:r w:rsidR="007E4BA6" w:rsidRPr="00111D8B">
        <w:rPr>
          <w:rFonts w:asciiTheme="minorEastAsia" w:eastAsiaTheme="minorEastAsia" w:hAnsiTheme="minorEastAsia"/>
          <w:b/>
          <w:lang w:eastAsia="zh-CN"/>
        </w:rPr>
        <w:t xml:space="preserve"> </w:t>
      </w:r>
    </w:p>
    <w:p w14:paraId="41016010" w14:textId="6D552664" w:rsidR="007D399A" w:rsidRDefault="007E4BA6">
      <w:pPr>
        <w:spacing w:after="2327" w:line="259" w:lineRule="auto"/>
        <w:ind w:left="493" w:right="5456" w:firstLine="0"/>
        <w:rPr>
          <w:lang w:eastAsia="zh-CN"/>
        </w:rPr>
      </w:pPr>
      <w:r>
        <w:rPr>
          <w:lang w:eastAsia="zh-CN"/>
        </w:rPr>
        <w:t xml:space="preserve"> </w:t>
      </w:r>
      <w:r w:rsidR="00852A66">
        <w:rPr>
          <w:lang w:eastAsia="zh-CN"/>
        </w:rPr>
        <w:t xml:space="preserve"> </w:t>
      </w:r>
    </w:p>
    <w:p w14:paraId="5B9BB0A1" w14:textId="77777777" w:rsidR="00852A66" w:rsidRDefault="007E4BA6">
      <w:pPr>
        <w:spacing w:after="0" w:line="326" w:lineRule="auto"/>
        <w:ind w:left="0" w:right="203" w:firstLine="0"/>
        <w:rPr>
          <w:sz w:val="20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3FF7D6" wp14:editId="6B138D2E">
            <wp:simplePos x="0" y="0"/>
            <wp:positionH relativeFrom="column">
              <wp:posOffset>2369058</wp:posOffset>
            </wp:positionH>
            <wp:positionV relativeFrom="paragraph">
              <wp:posOffset>-1529265</wp:posOffset>
            </wp:positionV>
            <wp:extent cx="1157605" cy="1543050"/>
            <wp:effectExtent l="0" t="0" r="0" b="0"/>
            <wp:wrapSquare wrapText="bothSides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81BFFA4" wp14:editId="152B36EF">
            <wp:simplePos x="0" y="0"/>
            <wp:positionH relativeFrom="column">
              <wp:posOffset>312928</wp:posOffset>
            </wp:positionH>
            <wp:positionV relativeFrom="paragraph">
              <wp:posOffset>-1528503</wp:posOffset>
            </wp:positionV>
            <wp:extent cx="1167384" cy="1609344"/>
            <wp:effectExtent l="0" t="0" r="0" b="0"/>
            <wp:wrapSquare wrapText="bothSides"/>
            <wp:docPr id="2754" name="Picture 2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" name="Picture 27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5E72812" wp14:editId="7FF90BAF">
            <wp:simplePos x="0" y="0"/>
            <wp:positionH relativeFrom="column">
              <wp:posOffset>4328668</wp:posOffset>
            </wp:positionH>
            <wp:positionV relativeFrom="paragraph">
              <wp:posOffset>-1420046</wp:posOffset>
            </wp:positionV>
            <wp:extent cx="1950085" cy="1299845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51E58F" w14:textId="30C57DF0" w:rsidR="00852A66" w:rsidRPr="00111D8B" w:rsidRDefault="00852A66" w:rsidP="00852A66">
      <w:pPr>
        <w:spacing w:after="0" w:line="326" w:lineRule="auto"/>
        <w:ind w:left="0" w:right="203" w:firstLine="0"/>
        <w:rPr>
          <w:rFonts w:asciiTheme="minorEastAsia" w:eastAsiaTheme="minorEastAsia" w:hAnsiTheme="minorEastAsia" w:cs="Microsoft YaHei"/>
          <w:sz w:val="20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 xml:space="preserve">美人鱼大道的树坑由联盟的 </w:t>
      </w:r>
      <w:r w:rsidRPr="00111D8B">
        <w:rPr>
          <w:rFonts w:asciiTheme="minorEastAsia" w:eastAsiaTheme="minorEastAsia" w:hAnsiTheme="minorEastAsia" w:cs="Microsoft YaHei"/>
          <w:sz w:val="20"/>
          <w:lang w:eastAsia="zh-CN"/>
        </w:rPr>
        <w:t xml:space="preserve">                    </w:t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 xml:space="preserve">美人鱼大道的树坑由联盟的 </w:t>
      </w:r>
      <w:r w:rsidRPr="00111D8B">
        <w:rPr>
          <w:rFonts w:asciiTheme="minorEastAsia" w:eastAsiaTheme="minorEastAsia" w:hAnsiTheme="minorEastAsia" w:cs="Microsoft YaHei"/>
          <w:sz w:val="20"/>
          <w:lang w:eastAsia="zh-CN"/>
        </w:rPr>
        <w:t xml:space="preserve">             </w:t>
      </w:r>
      <w:r w:rsidR="004A62B6">
        <w:rPr>
          <w:rFonts w:asciiTheme="minorEastAsia" w:eastAsiaTheme="minorEastAsia" w:hAnsiTheme="minorEastAsia" w:cs="Microsoft YaHei"/>
          <w:sz w:val="20"/>
          <w:lang w:eastAsia="zh-CN"/>
        </w:rPr>
        <w:tab/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>美人鱼大道上的节日灯光示例</w:t>
      </w:r>
    </w:p>
    <w:p w14:paraId="6CCF1D7A" w14:textId="4B7D9110" w:rsidR="007D399A" w:rsidRPr="00111D8B" w:rsidRDefault="00852A66">
      <w:pPr>
        <w:spacing w:after="0" w:line="326" w:lineRule="auto"/>
        <w:ind w:left="0" w:right="203" w:firstLine="0"/>
        <w:rPr>
          <w:rFonts w:asciiTheme="minorEastAsia" w:eastAsiaTheme="minorEastAsia" w:hAnsiTheme="minorEastAsia" w:cs="Microsoft YaHei"/>
          <w:sz w:val="20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 xml:space="preserve"> </w:t>
      </w:r>
      <w:r w:rsidRPr="00111D8B">
        <w:rPr>
          <w:rFonts w:asciiTheme="minorEastAsia" w:eastAsiaTheme="minorEastAsia" w:hAnsiTheme="minorEastAsia" w:cs="Microsoft YaHei"/>
          <w:sz w:val="20"/>
          <w:lang w:eastAsia="zh-CN"/>
        </w:rPr>
        <w:t xml:space="preserve">       </w:t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>卫生小组</w:t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>除草 （</w:t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>前</w:t>
      </w:r>
      <w:r w:rsidRPr="00111D8B">
        <w:rPr>
          <w:rFonts w:asciiTheme="minorEastAsia" w:eastAsiaTheme="minorEastAsia" w:hAnsiTheme="minorEastAsia" w:cs="Microsoft YaHei"/>
          <w:sz w:val="20"/>
          <w:lang w:eastAsia="zh-CN"/>
        </w:rPr>
        <w:t xml:space="preserve">）                              </w:t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>卫生小组除草</w:t>
      </w:r>
      <w:r w:rsidRPr="00111D8B">
        <w:rPr>
          <w:rFonts w:asciiTheme="minorEastAsia" w:eastAsiaTheme="minorEastAsia" w:hAnsiTheme="minorEastAsia" w:cs="Microsoft YaHei"/>
          <w:sz w:val="20"/>
          <w:lang w:eastAsia="zh-CN"/>
        </w:rPr>
        <w:t xml:space="preserve">  (</w:t>
      </w:r>
      <w:r w:rsidRPr="00111D8B">
        <w:rPr>
          <w:rFonts w:asciiTheme="minorEastAsia" w:eastAsiaTheme="minorEastAsia" w:hAnsiTheme="minorEastAsia" w:cs="Microsoft YaHei" w:hint="eastAsia"/>
          <w:sz w:val="20"/>
          <w:lang w:eastAsia="zh-CN"/>
        </w:rPr>
        <w:t>后).</w:t>
      </w:r>
      <w:r w:rsidR="007E4BA6" w:rsidRPr="00111D8B">
        <w:rPr>
          <w:rFonts w:asciiTheme="minorEastAsia" w:eastAsiaTheme="minorEastAsia" w:hAnsiTheme="minorEastAsia"/>
          <w:sz w:val="20"/>
          <w:lang w:eastAsia="zh-CN"/>
        </w:rPr>
        <w:tab/>
      </w:r>
      <w:r w:rsidR="007E4BA6" w:rsidRPr="00111D8B">
        <w:rPr>
          <w:rFonts w:asciiTheme="minorEastAsia" w:eastAsiaTheme="minorEastAsia" w:hAnsiTheme="minorEastAsia"/>
          <w:b/>
          <w:lang w:eastAsia="zh-CN"/>
        </w:rPr>
        <w:t xml:space="preserve"> </w:t>
      </w:r>
    </w:p>
    <w:p w14:paraId="60AABF17" w14:textId="77777777" w:rsidR="007D399A" w:rsidRDefault="007E4BA6">
      <w:pPr>
        <w:spacing w:after="0" w:line="259" w:lineRule="auto"/>
        <w:ind w:left="2087" w:right="0" w:firstLine="0"/>
        <w:jc w:val="center"/>
        <w:rPr>
          <w:lang w:eastAsia="zh-CN"/>
        </w:rPr>
      </w:pPr>
      <w:r>
        <w:rPr>
          <w:b/>
          <w:lang w:eastAsia="zh-CN"/>
        </w:rPr>
        <w:t xml:space="preserve"> </w:t>
      </w:r>
    </w:p>
    <w:p w14:paraId="1171B33E" w14:textId="0478F213" w:rsidR="007D399A" w:rsidRDefault="003E12DF">
      <w:pPr>
        <w:spacing w:after="0"/>
        <w:ind w:left="204"/>
        <w:rPr>
          <w:lang w:eastAsia="zh-CN"/>
        </w:rPr>
      </w:pPr>
      <w:r>
        <w:rPr>
          <w:rFonts w:ascii="Microsoft YaHei" w:eastAsia="Microsoft YaHei" w:hAnsi="Microsoft YaHei" w:cs="Microsoft YaHei" w:hint="eastAsia"/>
          <w:b/>
          <w:lang w:eastAsia="zh-CN"/>
        </w:rPr>
        <w:t>商业改进区</w:t>
      </w:r>
      <w:r w:rsidR="00442547">
        <w:rPr>
          <w:rFonts w:ascii="Microsoft YaHei" w:eastAsia="Microsoft YaHei" w:hAnsi="Microsoft YaHei" w:cs="Microsoft YaHei" w:hint="eastAsia"/>
          <w:b/>
          <w:lang w:eastAsia="zh-CN"/>
        </w:rPr>
        <w:t>如何得到</w:t>
      </w:r>
      <w:r w:rsidR="00935AC8">
        <w:rPr>
          <w:rFonts w:ascii="Microsoft YaHei" w:eastAsia="Microsoft YaHei" w:hAnsi="Microsoft YaHei" w:cs="Microsoft YaHei" w:hint="eastAsia"/>
          <w:b/>
          <w:lang w:eastAsia="zh-CN"/>
        </w:rPr>
        <w:t>资金</w:t>
      </w:r>
      <w:r>
        <w:rPr>
          <w:rFonts w:ascii="Microsoft YaHei" w:eastAsia="Microsoft YaHei" w:hAnsi="Microsoft YaHei" w:cs="Microsoft YaHei" w:hint="eastAsia"/>
          <w:b/>
          <w:lang w:eastAsia="zh-CN"/>
        </w:rPr>
        <w:t>？</w:t>
      </w:r>
    </w:p>
    <w:p w14:paraId="51F61BDA" w14:textId="727C7C46" w:rsidR="007D399A" w:rsidRPr="00111D8B" w:rsidRDefault="00442547">
      <w:pPr>
        <w:ind w:left="204" w:righ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 xml:space="preserve">纽约市财政局的评估拨款占商业改进区预算的75%。 </w:t>
      </w:r>
      <w:r w:rsidR="00070983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大多数商改区也</w:t>
      </w:r>
      <w:r w:rsidR="00277123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自行筹集资金，通过申请另外赠款，并从项目中获得的收入，</w:t>
      </w:r>
      <w:r w:rsidR="00277123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以支持他们提供的服务</w:t>
      </w:r>
      <w:r w:rsidR="00277123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 xml:space="preserve">。 </w:t>
      </w:r>
    </w:p>
    <w:p w14:paraId="69975B3A" w14:textId="77777777" w:rsidR="007D399A" w:rsidRPr="00111D8B" w:rsidRDefault="007E4BA6">
      <w:pPr>
        <w:spacing w:after="0" w:line="259" w:lineRule="auto"/>
        <w:ind w:left="209" w:right="0" w:firstLine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11D8B">
        <w:rPr>
          <w:rFonts w:asciiTheme="minorEastAsia" w:eastAsiaTheme="minorEastAsia" w:hAnsiTheme="minorEastAsia"/>
          <w:sz w:val="21"/>
          <w:szCs w:val="21"/>
          <w:lang w:eastAsia="zh-CN"/>
        </w:rPr>
        <w:t xml:space="preserve"> </w:t>
      </w:r>
    </w:p>
    <w:p w14:paraId="30CEE272" w14:textId="0F2C8676" w:rsidR="007D399A" w:rsidRPr="00111D8B" w:rsidRDefault="00277123" w:rsidP="00111D8B">
      <w:pPr>
        <w:ind w:left="204" w:righ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市政府</w:t>
      </w:r>
      <w:r w:rsidR="00915441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通过与房地产税账单一起</w:t>
      </w:r>
      <w:r w:rsidR="00915441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寄出</w:t>
      </w:r>
      <w:r w:rsidR="00915441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的单独账单</w:t>
      </w:r>
      <w:r w:rsidR="00915441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来对商业改进区进行评估拨款。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市政府不会对评估拨款收取任何的费用</w:t>
      </w:r>
      <w:r w:rsidR="00E64BAC" w:rsidRPr="00111D8B">
        <w:rPr>
          <w:rFonts w:asciiTheme="minorEastAsia" w:eastAsiaTheme="minorEastAsia" w:hAnsiTheme="minorEastAsia" w:cs="Microsoft YaHei"/>
          <w:sz w:val="21"/>
          <w:szCs w:val="21"/>
          <w:lang w:eastAsia="zh-CN"/>
        </w:rPr>
        <w:t>;</w:t>
      </w:r>
      <w:r w:rsidR="00E64BAC" w:rsidRPr="00111D8B">
        <w:rPr>
          <w:rFonts w:asciiTheme="minorEastAsia" w:eastAsiaTheme="minorEastAsia" w:hAnsiTheme="minorEastAsia" w:cs="Microsoft YaHei"/>
          <w:sz w:val="21"/>
          <w:szCs w:val="21"/>
          <w:lang w:eastAsia="zh-CN"/>
        </w:rPr>
        <w:t xml:space="preserve"> 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所收的每一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分钱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都退还给</w:t>
      </w:r>
      <w:r w:rsidR="00573C7A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商业改进区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，以支付</w:t>
      </w:r>
      <w:r w:rsidR="00573C7A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商改区的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服务费用。这些资金直接用于</w:t>
      </w:r>
      <w:r w:rsidR="00573C7A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商改区</w:t>
      </w:r>
      <w:r w:rsidR="00CB40A9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委员会成员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选择的</w:t>
      </w:r>
      <w:r w:rsidR="009F1F1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项目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方案和</w:t>
      </w:r>
      <w:r w:rsidR="00A40B2B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提供的</w:t>
      </w:r>
      <w:r w:rsidR="00E64BAC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服务</w:t>
      </w:r>
      <w:r w:rsidR="00573C7A" w:rsidRPr="00111D8B">
        <w:rPr>
          <w:rFonts w:asciiTheme="minorEastAsia" w:eastAsiaTheme="minorEastAsia" w:hAnsiTheme="minorEastAsia" w:cs="Microsoft YaHei" w:hint="eastAsia"/>
          <w:sz w:val="21"/>
          <w:szCs w:val="21"/>
          <w:lang w:eastAsia="zh-CN"/>
        </w:rPr>
        <w:t>。</w:t>
      </w:r>
      <w:r w:rsidR="007E4BA6" w:rsidRPr="00111D8B">
        <w:rPr>
          <w:rFonts w:asciiTheme="minorEastAsia" w:eastAsiaTheme="minorEastAsia" w:hAnsiTheme="minorEastAsia"/>
          <w:b/>
          <w:lang w:eastAsia="zh-CN"/>
        </w:rPr>
        <w:t xml:space="preserve"> </w:t>
      </w:r>
    </w:p>
    <w:p w14:paraId="0BD1FB52" w14:textId="73293548" w:rsidR="007D399A" w:rsidRDefault="00CC0B18">
      <w:pPr>
        <w:spacing w:after="100" w:line="259" w:lineRule="auto"/>
        <w:ind w:left="206" w:right="0" w:firstLine="0"/>
        <w:jc w:val="center"/>
        <w:rPr>
          <w:lang w:eastAsia="zh-CN"/>
        </w:rPr>
      </w:pPr>
      <w:r>
        <w:rPr>
          <w:rFonts w:ascii="Microsoft YaHei" w:eastAsia="Microsoft YaHei" w:hAnsi="Microsoft YaHei" w:cs="Microsoft YaHei" w:hint="eastAsia"/>
          <w:b/>
          <w:sz w:val="24"/>
          <w:lang w:eastAsia="zh-CN"/>
        </w:rPr>
        <w:t>美人鱼大道问答</w:t>
      </w:r>
      <w:r w:rsidR="007E4BA6">
        <w:rPr>
          <w:b/>
          <w:lang w:eastAsia="zh-CN"/>
        </w:rPr>
        <w:t xml:space="preserve"> </w:t>
      </w:r>
      <w:r w:rsidR="000001D0">
        <w:rPr>
          <w:b/>
          <w:lang w:eastAsia="zh-CN"/>
        </w:rPr>
        <w:t>Q &amp; A</w:t>
      </w:r>
    </w:p>
    <w:p w14:paraId="11A32C58" w14:textId="479637D2" w:rsidR="007D399A" w:rsidRDefault="00C66EE3">
      <w:pPr>
        <w:spacing w:after="106"/>
        <w:ind w:left="204"/>
        <w:rPr>
          <w:lang w:eastAsia="zh-CN"/>
        </w:rPr>
      </w:pPr>
      <w:r w:rsidRPr="00C66EE3">
        <w:rPr>
          <w:rFonts w:ascii="Microsoft YaHei" w:eastAsia="Microsoft YaHei" w:hAnsi="Microsoft YaHei" w:cs="Microsoft YaHei" w:hint="eastAsia"/>
          <w:b/>
          <w:lang w:eastAsia="zh-CN"/>
        </w:rPr>
        <w:t>美人鱼大道</w:t>
      </w:r>
      <w:r w:rsidRPr="00C66EE3">
        <w:rPr>
          <w:b/>
          <w:lang w:eastAsia="zh-CN"/>
        </w:rPr>
        <w:t>:</w:t>
      </w:r>
      <w:r>
        <w:rPr>
          <w:b/>
          <w:lang w:eastAsia="zh-CN"/>
        </w:rPr>
        <w:t xml:space="preserve"> </w:t>
      </w:r>
      <w:r w:rsidRPr="00C66EE3">
        <w:rPr>
          <w:b/>
          <w:lang w:eastAsia="zh-CN"/>
        </w:rPr>
        <w:t>(</w:t>
      </w:r>
      <w:r w:rsidRPr="00C66EE3">
        <w:rPr>
          <w:rFonts w:ascii="Microsoft YaHei" w:eastAsia="Microsoft YaHei" w:hAnsi="Microsoft YaHei" w:cs="Microsoft YaHei" w:hint="eastAsia"/>
          <w:b/>
          <w:lang w:eastAsia="zh-CN"/>
        </w:rPr>
        <w:t>非住宅</w:t>
      </w:r>
      <w:r w:rsidRPr="00C66EE3">
        <w:rPr>
          <w:b/>
          <w:lang w:eastAsia="zh-CN"/>
        </w:rPr>
        <w:t>)</w:t>
      </w:r>
      <w:r w:rsidRPr="00C66EE3">
        <w:rPr>
          <w:rFonts w:ascii="Microsoft YaHei" w:eastAsia="Microsoft YaHei" w:hAnsi="Microsoft YaHei" w:cs="Microsoft YaHei" w:hint="eastAsia"/>
          <w:b/>
          <w:lang w:eastAsia="zh-CN"/>
        </w:rPr>
        <w:t>物业建议的商业改</w:t>
      </w:r>
      <w:r>
        <w:rPr>
          <w:rFonts w:ascii="Microsoft YaHei" w:eastAsia="Microsoft YaHei" w:hAnsi="Microsoft YaHei" w:cs="Microsoft YaHei" w:hint="eastAsia"/>
          <w:b/>
          <w:lang w:eastAsia="zh-CN"/>
        </w:rPr>
        <w:t>进</w:t>
      </w:r>
      <w:r w:rsidRPr="00C66EE3">
        <w:rPr>
          <w:rFonts w:ascii="Microsoft YaHei" w:eastAsia="Microsoft YaHei" w:hAnsi="Microsoft YaHei" w:cs="Microsoft YaHei" w:hint="eastAsia"/>
          <w:b/>
          <w:lang w:eastAsia="zh-CN"/>
        </w:rPr>
        <w:t>地区</w:t>
      </w:r>
      <w:r>
        <w:rPr>
          <w:rFonts w:ascii="Microsoft YaHei" w:eastAsia="Microsoft YaHei" w:hAnsi="Microsoft YaHei" w:cs="Microsoft YaHei" w:hint="eastAsia"/>
          <w:b/>
          <w:lang w:eastAsia="zh-CN"/>
        </w:rPr>
        <w:t>年付费</w:t>
      </w:r>
      <w:r w:rsidRPr="00C66EE3">
        <w:rPr>
          <w:rFonts w:ascii="Microsoft YaHei" w:eastAsia="Microsoft YaHei" w:hAnsi="Microsoft YaHei" w:cs="Microsoft YaHei" w:hint="eastAsia"/>
          <w:b/>
          <w:lang w:eastAsia="zh-CN"/>
        </w:rPr>
        <w:t>是多少</w:t>
      </w:r>
      <w:r w:rsidRPr="00C66EE3">
        <w:rPr>
          <w:b/>
          <w:lang w:eastAsia="zh-CN"/>
        </w:rPr>
        <w:t>?</w:t>
      </w:r>
      <w:r w:rsidR="007E4BA6">
        <w:rPr>
          <w:b/>
          <w:lang w:eastAsia="zh-CN"/>
        </w:rPr>
        <w:t xml:space="preserve"> </w:t>
      </w:r>
    </w:p>
    <w:p w14:paraId="6FA2EC27" w14:textId="792424AD" w:rsidR="007D399A" w:rsidRPr="00111D8B" w:rsidRDefault="00C66EE3" w:rsidP="00111D8B">
      <w:pPr>
        <w:ind w:left="204" w:right="0"/>
        <w:rPr>
          <w:rFonts w:asciiTheme="minorEastAsia" w:eastAsiaTheme="minorEastAsia" w:hAnsiTheme="minorEastAsia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lang w:eastAsia="zh-CN"/>
        </w:rPr>
        <w:t>评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估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依据物业用途、商业用地面积和物业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价值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而会有所不</w:t>
      </w:r>
      <w:r w:rsidR="003D12F2" w:rsidRPr="00111D8B">
        <w:rPr>
          <w:rFonts w:asciiTheme="minorEastAsia" w:eastAsiaTheme="minorEastAsia" w:hAnsiTheme="minorEastAsia" w:cs="Microsoft YaHei" w:hint="eastAsia"/>
          <w:lang w:eastAsia="zh-CN"/>
        </w:rPr>
        <w:t>同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。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目前，</w:t>
      </w:r>
      <w:r w:rsidR="007A50FD" w:rsidRPr="00111D8B">
        <w:rPr>
          <w:rFonts w:asciiTheme="minorEastAsia" w:eastAsiaTheme="minorEastAsia" w:hAnsiTheme="minorEastAsia" w:cs="Microsoft YaHei" w:hint="eastAsia"/>
          <w:lang w:eastAsia="zh-CN"/>
        </w:rPr>
        <w:t>商业改进区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范围内的美人鱼大道</w:t>
      </w:r>
      <w:r w:rsidR="007A50FD" w:rsidRPr="00111D8B">
        <w:rPr>
          <w:rFonts w:asciiTheme="minorEastAsia" w:eastAsiaTheme="minorEastAsia" w:hAnsiTheme="minorEastAsia" w:cs="Microsoft YaHei" w:hint="eastAsia"/>
          <w:lang w:eastAsia="zh-CN"/>
        </w:rPr>
        <w:t>区域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共有</w:t>
      </w:r>
      <w:r w:rsidRPr="00111D8B">
        <w:rPr>
          <w:rFonts w:asciiTheme="minorEastAsia" w:eastAsiaTheme="minorEastAsia" w:hAnsiTheme="minorEastAsia"/>
          <w:lang w:eastAsia="zh-CN"/>
        </w:rPr>
        <w:t>310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个物业</w:t>
      </w:r>
      <w:r w:rsidRPr="00111D8B">
        <w:rPr>
          <w:rFonts w:asciiTheme="minorEastAsia" w:eastAsiaTheme="minorEastAsia" w:hAnsiTheme="minorEastAsia"/>
          <w:lang w:eastAsia="zh-CN"/>
        </w:rPr>
        <w:t>(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即税务地段</w:t>
      </w:r>
      <w:r w:rsidRPr="00111D8B">
        <w:rPr>
          <w:rFonts w:asciiTheme="minorEastAsia" w:eastAsiaTheme="minorEastAsia" w:hAnsiTheme="minorEastAsia"/>
          <w:lang w:eastAsia="zh-CN"/>
        </w:rPr>
        <w:t>)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，占</w:t>
      </w:r>
      <w:r w:rsidR="007A50FD" w:rsidRPr="00111D8B">
        <w:rPr>
          <w:rFonts w:asciiTheme="minorEastAsia" w:eastAsiaTheme="minorEastAsia" w:hAnsiTheme="minorEastAsia" w:cs="Microsoft YaHei" w:hint="eastAsia"/>
          <w:lang w:eastAsia="zh-CN"/>
        </w:rPr>
        <w:t>商改区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地区物业总数的</w:t>
      </w:r>
      <w:r w:rsidRPr="00111D8B">
        <w:rPr>
          <w:rFonts w:asciiTheme="minorEastAsia" w:eastAsiaTheme="minorEastAsia" w:hAnsiTheme="minorEastAsia"/>
          <w:lang w:eastAsia="zh-CN"/>
        </w:rPr>
        <w:t>62%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7A9FFFC6" w14:textId="77777777" w:rsidR="00111D8B" w:rsidRPr="00111D8B" w:rsidRDefault="00111D8B" w:rsidP="00111D8B">
      <w:pPr>
        <w:ind w:left="204" w:right="0"/>
        <w:rPr>
          <w:rFonts w:asciiTheme="minorEastAsia" w:eastAsiaTheme="minorEastAsia" w:hAnsiTheme="minorEastAsia"/>
          <w:lang w:eastAsia="zh-CN"/>
        </w:rPr>
      </w:pPr>
    </w:p>
    <w:p w14:paraId="584A8921" w14:textId="36ADB375" w:rsidR="007D399A" w:rsidRPr="00111D8B" w:rsidRDefault="003D12F2">
      <w:pPr>
        <w:spacing w:after="602"/>
        <w:ind w:left="204" w:right="0"/>
        <w:rPr>
          <w:rFonts w:asciiTheme="minorEastAsia" w:eastAsiaTheme="minorEastAsia" w:hAnsiTheme="minorEastAsia"/>
          <w:lang w:eastAsia="zh-CN"/>
        </w:rPr>
      </w:pPr>
      <w:r w:rsidRPr="00111D8B">
        <w:rPr>
          <w:rFonts w:asciiTheme="minorEastAsia" w:eastAsiaTheme="minorEastAsia" w:hAnsiTheme="minorEastAsia" w:cs="Microsoft YaHei" w:hint="eastAsia"/>
          <w:lang w:eastAsia="zh-CN"/>
        </w:rPr>
        <w:t>拥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有商业空间的美人鱼大道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物业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的年费从</w:t>
      </w:r>
      <w:r w:rsidRPr="00111D8B">
        <w:rPr>
          <w:rFonts w:asciiTheme="minorEastAsia" w:eastAsiaTheme="minorEastAsia" w:hAnsiTheme="minorEastAsia"/>
          <w:lang w:eastAsia="zh-CN"/>
        </w:rPr>
        <w:t>200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美元到</w:t>
      </w:r>
      <w:r w:rsidRPr="00111D8B">
        <w:rPr>
          <w:rFonts w:asciiTheme="minorEastAsia" w:eastAsiaTheme="minorEastAsia" w:hAnsiTheme="minorEastAsia"/>
          <w:lang w:eastAsia="zh-CN"/>
        </w:rPr>
        <w:t>5000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美元不等</w:t>
      </w:r>
      <w:r w:rsidRPr="00111D8B">
        <w:rPr>
          <w:rFonts w:asciiTheme="minorEastAsia" w:eastAsiaTheme="minorEastAsia" w:hAnsiTheme="minorEastAsia"/>
          <w:lang w:eastAsia="zh-CN"/>
        </w:rPr>
        <w:t>(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面积较大的大型</w:t>
      </w:r>
      <w:r w:rsidR="00DE3E64">
        <w:rPr>
          <w:rFonts w:asciiTheme="minorEastAsia" w:eastAsiaTheme="minorEastAsia" w:hAnsiTheme="minorEastAsia" w:cs="Microsoft YaHei" w:hint="eastAsia"/>
          <w:lang w:eastAsia="zh-CN"/>
        </w:rPr>
        <w:t>物业</w:t>
      </w:r>
      <w:bookmarkStart w:id="0" w:name="_GoBack"/>
      <w:bookmarkEnd w:id="0"/>
      <w:r w:rsidRPr="00111D8B">
        <w:rPr>
          <w:rFonts w:asciiTheme="minorEastAsia" w:eastAsiaTheme="minorEastAsia" w:hAnsiTheme="minorEastAsia"/>
          <w:lang w:eastAsia="zh-CN"/>
        </w:rPr>
        <w:t>)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。美人鱼大道的平均付款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年费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约为</w:t>
      </w:r>
      <w:r w:rsidRPr="00111D8B">
        <w:rPr>
          <w:rFonts w:asciiTheme="minorEastAsia" w:eastAsiaTheme="minorEastAsia" w:hAnsiTheme="minorEastAsia"/>
          <w:lang w:eastAsia="zh-CN"/>
        </w:rPr>
        <w:t>550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美元，约为每月</w:t>
      </w:r>
      <w:r w:rsidRPr="00111D8B">
        <w:rPr>
          <w:rFonts w:asciiTheme="minorEastAsia" w:eastAsiaTheme="minorEastAsia" w:hAnsiTheme="minorEastAsia"/>
          <w:lang w:eastAsia="zh-CN"/>
        </w:rPr>
        <w:t>45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美元</w:t>
      </w:r>
      <w:r w:rsidRPr="00111D8B">
        <w:rPr>
          <w:rFonts w:asciiTheme="minorEastAsia" w:eastAsiaTheme="minorEastAsia" w:hAnsiTheme="minorEastAsia" w:cs="Microsoft YaHei" w:hint="eastAsia"/>
          <w:lang w:eastAsia="zh-CN"/>
        </w:rPr>
        <w:t>。</w:t>
      </w:r>
    </w:p>
    <w:p w14:paraId="288F02BD" w14:textId="298063EB" w:rsidR="007D399A" w:rsidRDefault="003D12F2" w:rsidP="003D12F2">
      <w:pPr>
        <w:spacing w:after="0" w:line="240" w:lineRule="auto"/>
        <w:ind w:left="209" w:right="0" w:firstLine="0"/>
        <w:rPr>
          <w:lang w:eastAsia="zh-CN"/>
        </w:rPr>
      </w:pP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注</w:t>
      </w:r>
      <w:r w:rsidRPr="003D12F2">
        <w:rPr>
          <w:b/>
          <w:i/>
          <w:lang w:eastAsia="zh-CN"/>
        </w:rPr>
        <w:t>: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只有</w:t>
      </w:r>
      <w:r>
        <w:rPr>
          <w:rFonts w:ascii="Microsoft YaHei" w:eastAsia="Microsoft YaHei" w:hAnsi="Microsoft YaHei" w:cs="Microsoft YaHei" w:hint="eastAsia"/>
          <w:b/>
          <w:i/>
          <w:lang w:eastAsia="zh-CN"/>
        </w:rPr>
        <w:t>商改提议区内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的商业</w:t>
      </w:r>
      <w:r>
        <w:rPr>
          <w:rFonts w:ascii="Microsoft YaHei" w:eastAsia="Microsoft YaHei" w:hAnsi="Microsoft YaHei" w:cs="Microsoft YaHei" w:hint="eastAsia"/>
          <w:b/>
          <w:i/>
          <w:lang w:eastAsia="zh-CN"/>
        </w:rPr>
        <w:t>业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主才会缴付评税帐单</w:t>
      </w:r>
      <w:r w:rsidRPr="003D12F2">
        <w:rPr>
          <w:b/>
          <w:i/>
          <w:lang w:eastAsia="zh-CN"/>
        </w:rPr>
        <w:t>;</w:t>
      </w:r>
      <w:r>
        <w:rPr>
          <w:rFonts w:ascii="Microsoft YaHei" w:eastAsia="Microsoft YaHei" w:hAnsi="Microsoft YaHei" w:cs="Microsoft YaHei" w:hint="eastAsia"/>
          <w:b/>
          <w:i/>
          <w:lang w:eastAsia="zh-CN"/>
        </w:rPr>
        <w:t>但是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，业主可根据个别商业租约的条款，将评估结果转交商户。</w:t>
      </w:r>
      <w:r w:rsidR="00CE53B1">
        <w:rPr>
          <w:rFonts w:ascii="Microsoft YaHei" w:eastAsia="Microsoft YaHei" w:hAnsi="Microsoft YaHei" w:cs="Microsoft YaHei" w:hint="eastAsia"/>
          <w:b/>
          <w:i/>
          <w:lang w:eastAsia="zh-CN"/>
        </w:rPr>
        <w:t>如是整栋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住宅物业</w:t>
      </w:r>
      <w:r w:rsidR="000F127E">
        <w:rPr>
          <w:rFonts w:ascii="Microsoft YaHei" w:eastAsia="Microsoft YaHei" w:hAnsi="Microsoft YaHei" w:cs="Microsoft YaHei" w:hint="eastAsia"/>
          <w:b/>
          <w:i/>
          <w:lang w:eastAsia="zh-CN"/>
        </w:rPr>
        <w:t>,</w:t>
      </w:r>
      <w:r w:rsidR="000F127E">
        <w:rPr>
          <w:rFonts w:ascii="Microsoft YaHei" w:eastAsia="Microsoft YaHei" w:hAnsi="Microsoft YaHei" w:cs="Microsoft YaHei"/>
          <w:b/>
          <w:i/>
          <w:lang w:eastAsia="zh-CN"/>
        </w:rPr>
        <w:t xml:space="preserve"> 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每年象征性地征收</w:t>
      </w:r>
      <w:r w:rsidRPr="003D12F2">
        <w:rPr>
          <w:b/>
          <w:i/>
          <w:lang w:eastAsia="zh-CN"/>
        </w:rPr>
        <w:t>1</w:t>
      </w:r>
      <w:r w:rsidRPr="003D12F2">
        <w:rPr>
          <w:rFonts w:ascii="Microsoft YaHei" w:eastAsia="Microsoft YaHei" w:hAnsi="Microsoft YaHei" w:cs="Microsoft YaHei" w:hint="eastAsia"/>
          <w:b/>
          <w:i/>
          <w:lang w:eastAsia="zh-CN"/>
        </w:rPr>
        <w:t>美元的税。非营利组织和宗教机构可豁免缴纳税款。</w:t>
      </w:r>
    </w:p>
    <w:sectPr w:rsidR="007D399A">
      <w:pgSz w:w="12240" w:h="15840"/>
      <w:pgMar w:top="728" w:right="719" w:bottom="718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0FC"/>
    <w:multiLevelType w:val="hybridMultilevel"/>
    <w:tmpl w:val="5802CBB0"/>
    <w:lvl w:ilvl="0" w:tplc="D764CA64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184B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E8082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CDF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604E5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64C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670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E58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0A4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C8733F"/>
    <w:multiLevelType w:val="hybridMultilevel"/>
    <w:tmpl w:val="F8E87D46"/>
    <w:lvl w:ilvl="0" w:tplc="6F68664A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EB9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231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2BC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822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B1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AEDB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D23F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E4E4C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57421"/>
    <w:multiLevelType w:val="hybridMultilevel"/>
    <w:tmpl w:val="A7B08842"/>
    <w:lvl w:ilvl="0" w:tplc="B3623F96">
      <w:start w:val="1"/>
      <w:numFmt w:val="bullet"/>
      <w:lvlText w:val="•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C607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4E0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005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A4B1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4F9A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652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6FF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09F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9A"/>
    <w:rsid w:val="000001D0"/>
    <w:rsid w:val="00015BCC"/>
    <w:rsid w:val="00061E49"/>
    <w:rsid w:val="00070983"/>
    <w:rsid w:val="00084BAD"/>
    <w:rsid w:val="00096C0B"/>
    <w:rsid w:val="000B78B4"/>
    <w:rsid w:val="000C45DA"/>
    <w:rsid w:val="000F127E"/>
    <w:rsid w:val="00111D8B"/>
    <w:rsid w:val="00114EB8"/>
    <w:rsid w:val="00277123"/>
    <w:rsid w:val="002955B1"/>
    <w:rsid w:val="002E7F7A"/>
    <w:rsid w:val="00306C4B"/>
    <w:rsid w:val="00312A2E"/>
    <w:rsid w:val="003532A5"/>
    <w:rsid w:val="003646CC"/>
    <w:rsid w:val="003D12F2"/>
    <w:rsid w:val="003E12DF"/>
    <w:rsid w:val="003E53EC"/>
    <w:rsid w:val="00442547"/>
    <w:rsid w:val="004638CA"/>
    <w:rsid w:val="004738F5"/>
    <w:rsid w:val="004A62B6"/>
    <w:rsid w:val="005401B2"/>
    <w:rsid w:val="0054317F"/>
    <w:rsid w:val="00554FEA"/>
    <w:rsid w:val="00573C7A"/>
    <w:rsid w:val="005B6C69"/>
    <w:rsid w:val="005D5761"/>
    <w:rsid w:val="00615562"/>
    <w:rsid w:val="007A50FD"/>
    <w:rsid w:val="007D399A"/>
    <w:rsid w:val="007E4BA6"/>
    <w:rsid w:val="00813814"/>
    <w:rsid w:val="00833CF7"/>
    <w:rsid w:val="00852A66"/>
    <w:rsid w:val="00896F80"/>
    <w:rsid w:val="008A0D07"/>
    <w:rsid w:val="008C72CC"/>
    <w:rsid w:val="00915441"/>
    <w:rsid w:val="00917EDE"/>
    <w:rsid w:val="00935AC8"/>
    <w:rsid w:val="009E452B"/>
    <w:rsid w:val="009F1F1C"/>
    <w:rsid w:val="00A25614"/>
    <w:rsid w:val="00A40B2B"/>
    <w:rsid w:val="00AE60CA"/>
    <w:rsid w:val="00C66EE3"/>
    <w:rsid w:val="00C876ED"/>
    <w:rsid w:val="00CB40A9"/>
    <w:rsid w:val="00CC0B18"/>
    <w:rsid w:val="00CE53B1"/>
    <w:rsid w:val="00D15AD6"/>
    <w:rsid w:val="00D15EEF"/>
    <w:rsid w:val="00DC2364"/>
    <w:rsid w:val="00DE3E64"/>
    <w:rsid w:val="00E64BAC"/>
    <w:rsid w:val="00E76C87"/>
    <w:rsid w:val="00EA30C0"/>
    <w:rsid w:val="00ED69E1"/>
    <w:rsid w:val="00F5099D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D1B7"/>
  <w15:docId w15:val="{6FD6E83D-85C9-4D5E-9E62-0BCCCAAF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8" w:lineRule="auto"/>
      <w:ind w:left="1786" w:right="10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17DF-578A-48DC-B657-53AFA4F0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cp:lastModifiedBy>Cindy Godla</cp:lastModifiedBy>
  <cp:revision>37</cp:revision>
  <cp:lastPrinted>2018-12-11T20:56:00Z</cp:lastPrinted>
  <dcterms:created xsi:type="dcterms:W3CDTF">2018-12-07T17:47:00Z</dcterms:created>
  <dcterms:modified xsi:type="dcterms:W3CDTF">2018-12-11T21:05:00Z</dcterms:modified>
</cp:coreProperties>
</file>